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141B" w14:textId="77777777" w:rsidR="006C4889" w:rsidRDefault="00461B28">
      <w:pPr>
        <w:pStyle w:val="Heading1"/>
      </w:pPr>
      <w:r>
        <w:t>Governor Safeguarding Checklist</w:t>
      </w:r>
    </w:p>
    <w:tbl>
      <w:tblPr>
        <w:tblW w:w="1117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31"/>
        <w:gridCol w:w="3962"/>
      </w:tblGrid>
      <w:tr w:rsidR="006C4889" w:rsidRPr="009E74A6" w14:paraId="672F69A2" w14:textId="77777777" w:rsidTr="00461B28">
        <w:tc>
          <w:tcPr>
            <w:tcW w:w="2977" w:type="dxa"/>
          </w:tcPr>
          <w:p w14:paraId="3800023C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Area</w:t>
            </w:r>
          </w:p>
        </w:tc>
        <w:tc>
          <w:tcPr>
            <w:tcW w:w="4231" w:type="dxa"/>
          </w:tcPr>
          <w:p w14:paraId="73629B00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What Governors Need to Check</w:t>
            </w:r>
          </w:p>
        </w:tc>
        <w:tc>
          <w:tcPr>
            <w:tcW w:w="3962" w:type="dxa"/>
          </w:tcPr>
          <w:p w14:paraId="28E152BA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Sources / Evidence Base</w:t>
            </w:r>
          </w:p>
        </w:tc>
      </w:tr>
      <w:tr w:rsidR="006C4889" w:rsidRPr="009E74A6" w14:paraId="0D7C6F7D" w14:textId="77777777" w:rsidTr="00461B28">
        <w:tc>
          <w:tcPr>
            <w:tcW w:w="2977" w:type="dxa"/>
          </w:tcPr>
          <w:p w14:paraId="20F4514F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Statutory Framework</w:t>
            </w:r>
          </w:p>
        </w:tc>
        <w:tc>
          <w:tcPr>
            <w:tcW w:w="4231" w:type="dxa"/>
          </w:tcPr>
          <w:p w14:paraId="57DFF4ED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Governors understand that safeguarding must follow KCSIE 2025, especially Part 2 (Management of safeguarding).</w:t>
            </w:r>
          </w:p>
        </w:tc>
        <w:tc>
          <w:tcPr>
            <w:tcW w:w="3962" w:type="dxa"/>
          </w:tcPr>
          <w:p w14:paraId="45C40EE6" w14:textId="0D580ADE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137C16E1" w14:textId="77777777" w:rsidTr="00461B28">
        <w:tc>
          <w:tcPr>
            <w:tcW w:w="2977" w:type="dxa"/>
          </w:tcPr>
          <w:p w14:paraId="79CDD165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 xml:space="preserve">Staff </w:t>
            </w:r>
            <w:r w:rsidRPr="009E74A6">
              <w:rPr>
                <w:rFonts w:asciiTheme="majorHAnsi" w:hAnsiTheme="majorHAnsi" w:cstheme="majorHAnsi"/>
              </w:rPr>
              <w:t>Knowledge Requirements</w:t>
            </w:r>
          </w:p>
        </w:tc>
        <w:tc>
          <w:tcPr>
            <w:tcW w:w="4231" w:type="dxa"/>
          </w:tcPr>
          <w:p w14:paraId="67E6F85D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All staff who work directly with children have read KCSIE Part 1, and others the appropriate Annex A. Governors monitor compliance.</w:t>
            </w:r>
          </w:p>
        </w:tc>
        <w:tc>
          <w:tcPr>
            <w:tcW w:w="3962" w:type="dxa"/>
          </w:tcPr>
          <w:p w14:paraId="22D2FE8C" w14:textId="05A59688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1D393805" w14:textId="77777777" w:rsidTr="00461B28">
        <w:tc>
          <w:tcPr>
            <w:tcW w:w="2977" w:type="dxa"/>
          </w:tcPr>
          <w:p w14:paraId="1A867D4C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Governance Training</w:t>
            </w:r>
          </w:p>
        </w:tc>
        <w:tc>
          <w:tcPr>
            <w:tcW w:w="4231" w:type="dxa"/>
          </w:tcPr>
          <w:p w14:paraId="348191FE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Governors receive safeguarding training at induction and regular refreshers to provide strategic challenge.</w:t>
            </w:r>
          </w:p>
        </w:tc>
        <w:tc>
          <w:tcPr>
            <w:tcW w:w="3962" w:type="dxa"/>
          </w:tcPr>
          <w:p w14:paraId="69CA9EC1" w14:textId="3C8C9581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0057CF50" w14:textId="77777777" w:rsidTr="00461B28">
        <w:tc>
          <w:tcPr>
            <w:tcW w:w="2977" w:type="dxa"/>
          </w:tcPr>
          <w:p w14:paraId="3726CC7E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Working with the DSL</w:t>
            </w:r>
          </w:p>
        </w:tc>
        <w:tc>
          <w:tcPr>
            <w:tcW w:w="4231" w:type="dxa"/>
          </w:tcPr>
          <w:p w14:paraId="667FCBD9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Board receives regular safeguarding reports: referrals, themes, online safety, training compliance, safer recruitment, attendance, low-level concerns.</w:t>
            </w:r>
          </w:p>
        </w:tc>
        <w:tc>
          <w:tcPr>
            <w:tcW w:w="3962" w:type="dxa"/>
          </w:tcPr>
          <w:p w14:paraId="4FBC2803" w14:textId="7850553E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347DB580" w14:textId="77777777" w:rsidTr="00461B28">
        <w:tc>
          <w:tcPr>
            <w:tcW w:w="2977" w:type="dxa"/>
          </w:tcPr>
          <w:p w14:paraId="43B8E9D5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Assurance of DSL Function</w:t>
            </w:r>
          </w:p>
        </w:tc>
        <w:tc>
          <w:tcPr>
            <w:tcW w:w="4231" w:type="dxa"/>
          </w:tcPr>
          <w:p w14:paraId="27EF6BF2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DSL holds lead responsibility for safeguarding, which cannot be delegated.</w:t>
            </w:r>
          </w:p>
        </w:tc>
        <w:tc>
          <w:tcPr>
            <w:tcW w:w="3962" w:type="dxa"/>
          </w:tcPr>
          <w:p w14:paraId="270CE36E" w14:textId="3CE3347E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4329594E" w14:textId="77777777" w:rsidTr="00461B28">
        <w:tc>
          <w:tcPr>
            <w:tcW w:w="2977" w:type="dxa"/>
          </w:tcPr>
          <w:p w14:paraId="55A8AE5D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Policy &amp; Culture</w:t>
            </w:r>
          </w:p>
        </w:tc>
        <w:tc>
          <w:tcPr>
            <w:tcW w:w="4231" w:type="dxa"/>
          </w:tcPr>
          <w:p w14:paraId="43360ED6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Governors ensure a child-centred safeguarding culture and updated policies.</w:t>
            </w:r>
          </w:p>
        </w:tc>
        <w:tc>
          <w:tcPr>
            <w:tcW w:w="3962" w:type="dxa"/>
          </w:tcPr>
          <w:p w14:paraId="0BE3F48C" w14:textId="7361A11C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035F5E3B" w14:textId="77777777" w:rsidTr="00461B28">
        <w:tc>
          <w:tcPr>
            <w:tcW w:w="2977" w:type="dxa"/>
          </w:tcPr>
          <w:p w14:paraId="2453D2E4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Online Safety Oversight</w:t>
            </w:r>
          </w:p>
        </w:tc>
        <w:tc>
          <w:tcPr>
            <w:tcW w:w="4231" w:type="dxa"/>
          </w:tcPr>
          <w:p w14:paraId="3ECE283B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Governors scrutinise filtering/monitoring and monitor risks across the 4 Cs incl. misinformation/disinformation.</w:t>
            </w:r>
          </w:p>
        </w:tc>
        <w:tc>
          <w:tcPr>
            <w:tcW w:w="3962" w:type="dxa"/>
          </w:tcPr>
          <w:p w14:paraId="05EA2A24" w14:textId="036E9920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6C2B5773" w14:textId="77777777" w:rsidTr="00461B28">
        <w:tc>
          <w:tcPr>
            <w:tcW w:w="2977" w:type="dxa"/>
          </w:tcPr>
          <w:p w14:paraId="7CAEA4EB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Attendance</w:t>
            </w:r>
          </w:p>
        </w:tc>
        <w:tc>
          <w:tcPr>
            <w:tcW w:w="4231" w:type="dxa"/>
          </w:tcPr>
          <w:p w14:paraId="52F9C102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Governors ensure compliance with Working together to improve attendance; monitor persistent absence as safeguarding.</w:t>
            </w:r>
          </w:p>
        </w:tc>
        <w:tc>
          <w:tcPr>
            <w:tcW w:w="3962" w:type="dxa"/>
          </w:tcPr>
          <w:p w14:paraId="526E4A75" w14:textId="44F50E1B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57A37386" w14:textId="77777777" w:rsidTr="00461B28">
        <w:tc>
          <w:tcPr>
            <w:tcW w:w="2977" w:type="dxa"/>
          </w:tcPr>
          <w:p w14:paraId="55C6B4A9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Safer Recruitment</w:t>
            </w:r>
          </w:p>
        </w:tc>
        <w:tc>
          <w:tcPr>
            <w:tcW w:w="4231" w:type="dxa"/>
          </w:tcPr>
          <w:p w14:paraId="430DA829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Governors ensure updated vetting checks incl. regulated activity definitions, overseas checks.</w:t>
            </w:r>
          </w:p>
        </w:tc>
        <w:tc>
          <w:tcPr>
            <w:tcW w:w="3962" w:type="dxa"/>
          </w:tcPr>
          <w:p w14:paraId="7DF914E4" w14:textId="082B0578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246CF693" w14:textId="77777777" w:rsidTr="00461B28">
        <w:tc>
          <w:tcPr>
            <w:tcW w:w="2977" w:type="dxa"/>
          </w:tcPr>
          <w:p w14:paraId="3493CFE5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Governor Suitability Checks</w:t>
            </w:r>
          </w:p>
        </w:tc>
        <w:tc>
          <w:tcPr>
            <w:tcW w:w="4231" w:type="dxa"/>
          </w:tcPr>
          <w:p w14:paraId="259B5378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Governors/trustees hold enhanced DBS and Section 128 where required.</w:t>
            </w:r>
          </w:p>
        </w:tc>
        <w:tc>
          <w:tcPr>
            <w:tcW w:w="3962" w:type="dxa"/>
          </w:tcPr>
          <w:p w14:paraId="52DDDCD0" w14:textId="757D7008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041FF841" w14:textId="77777777" w:rsidTr="00461B28">
        <w:tc>
          <w:tcPr>
            <w:tcW w:w="2977" w:type="dxa"/>
          </w:tcPr>
          <w:p w14:paraId="033C252C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lastRenderedPageBreak/>
              <w:t>Allegations &amp; Low-Level Concerns</w:t>
            </w:r>
          </w:p>
        </w:tc>
        <w:tc>
          <w:tcPr>
            <w:tcW w:w="4231" w:type="dxa"/>
          </w:tcPr>
          <w:p w14:paraId="356AAC34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Ensure school distinguishes harm-threshold vs low-level concerns and monitors patterns.</w:t>
            </w:r>
          </w:p>
        </w:tc>
        <w:tc>
          <w:tcPr>
            <w:tcW w:w="3962" w:type="dxa"/>
          </w:tcPr>
          <w:p w14:paraId="585D089B" w14:textId="795A5D59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2BF8B489" w14:textId="77777777" w:rsidTr="00461B28">
        <w:tc>
          <w:tcPr>
            <w:tcW w:w="2977" w:type="dxa"/>
          </w:tcPr>
          <w:p w14:paraId="59839633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Alternative Provision</w:t>
            </w:r>
          </w:p>
        </w:tc>
        <w:tc>
          <w:tcPr>
            <w:tcW w:w="4231" w:type="dxa"/>
          </w:tcPr>
          <w:p w14:paraId="28261266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Monitor AP provider checks; school retains safeguarding responsibility.</w:t>
            </w:r>
          </w:p>
        </w:tc>
        <w:tc>
          <w:tcPr>
            <w:tcW w:w="3962" w:type="dxa"/>
          </w:tcPr>
          <w:p w14:paraId="579C8DCC" w14:textId="1ABC16C5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53429AB5" w14:textId="77777777" w:rsidTr="00461B28">
        <w:tc>
          <w:tcPr>
            <w:tcW w:w="2977" w:type="dxa"/>
          </w:tcPr>
          <w:p w14:paraId="7F32B50C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Vulnerable Groups</w:t>
            </w:r>
          </w:p>
        </w:tc>
        <w:tc>
          <w:tcPr>
            <w:tcW w:w="4231" w:type="dxa"/>
          </w:tcPr>
          <w:p w14:paraId="57587FEC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Oversight for looked-after children, children with social worker, kinship care; role of Virtual School Heads.</w:t>
            </w:r>
          </w:p>
        </w:tc>
        <w:tc>
          <w:tcPr>
            <w:tcW w:w="3962" w:type="dxa"/>
          </w:tcPr>
          <w:p w14:paraId="79307698" w14:textId="3CC24BB9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  <w:tr w:rsidR="006C4889" w:rsidRPr="009E74A6" w14:paraId="39F3821B" w14:textId="77777777" w:rsidTr="00461B28">
        <w:tc>
          <w:tcPr>
            <w:tcW w:w="2977" w:type="dxa"/>
          </w:tcPr>
          <w:p w14:paraId="3D35E466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Data Protection &amp; Records</w:t>
            </w:r>
          </w:p>
        </w:tc>
        <w:tc>
          <w:tcPr>
            <w:tcW w:w="4231" w:type="dxa"/>
          </w:tcPr>
          <w:p w14:paraId="5788044E" w14:textId="77777777" w:rsidR="006C4889" w:rsidRPr="009E74A6" w:rsidRDefault="00461B28">
            <w:pPr>
              <w:rPr>
                <w:rFonts w:asciiTheme="majorHAnsi" w:hAnsiTheme="majorHAnsi" w:cstheme="majorHAnsi"/>
              </w:rPr>
            </w:pPr>
            <w:r w:rsidRPr="009E74A6">
              <w:rPr>
                <w:rFonts w:asciiTheme="majorHAnsi" w:hAnsiTheme="majorHAnsi" w:cstheme="majorHAnsi"/>
              </w:rPr>
              <w:t>Ensure secure, accurate child protection records and use of DfE data protection guidance.</w:t>
            </w:r>
          </w:p>
        </w:tc>
        <w:tc>
          <w:tcPr>
            <w:tcW w:w="3962" w:type="dxa"/>
          </w:tcPr>
          <w:p w14:paraId="181A09B7" w14:textId="04DFCEFA" w:rsidR="006C4889" w:rsidRPr="009E74A6" w:rsidRDefault="006C4889">
            <w:pPr>
              <w:rPr>
                <w:rFonts w:asciiTheme="majorHAnsi" w:hAnsiTheme="majorHAnsi" w:cstheme="majorHAnsi"/>
              </w:rPr>
            </w:pPr>
          </w:p>
        </w:tc>
      </w:tr>
    </w:tbl>
    <w:p w14:paraId="4DD30A5E" w14:textId="77777777" w:rsidR="00461B28" w:rsidRDefault="00461B28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8312866">
    <w:abstractNumId w:val="8"/>
  </w:num>
  <w:num w:numId="2" w16cid:durableId="1916163504">
    <w:abstractNumId w:val="6"/>
  </w:num>
  <w:num w:numId="3" w16cid:durableId="1193765390">
    <w:abstractNumId w:val="5"/>
  </w:num>
  <w:num w:numId="4" w16cid:durableId="1703090685">
    <w:abstractNumId w:val="4"/>
  </w:num>
  <w:num w:numId="5" w16cid:durableId="1320159216">
    <w:abstractNumId w:val="7"/>
  </w:num>
  <w:num w:numId="6" w16cid:durableId="1732732169">
    <w:abstractNumId w:val="3"/>
  </w:num>
  <w:num w:numId="7" w16cid:durableId="1548373375">
    <w:abstractNumId w:val="2"/>
  </w:num>
  <w:num w:numId="8" w16cid:durableId="1557660215">
    <w:abstractNumId w:val="1"/>
  </w:num>
  <w:num w:numId="9" w16cid:durableId="164176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B2A"/>
    <w:rsid w:val="0029639D"/>
    <w:rsid w:val="00326F90"/>
    <w:rsid w:val="00461B28"/>
    <w:rsid w:val="006C4889"/>
    <w:rsid w:val="009E74A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F9043"/>
  <w14:defaultImageDpi w14:val="300"/>
  <w15:docId w15:val="{90ECE520-945F-4C4A-883F-D0A7392B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Becky Hyder</cp:lastModifiedBy>
  <cp:revision>3</cp:revision>
  <dcterms:created xsi:type="dcterms:W3CDTF">2026-01-30T10:07:00Z</dcterms:created>
  <dcterms:modified xsi:type="dcterms:W3CDTF">2026-01-30T10:07:00Z</dcterms:modified>
  <cp:category/>
</cp:coreProperties>
</file>